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06148" w14:textId="22A4FCFD" w:rsidR="00B86FEF" w:rsidRPr="00AB3AF4" w:rsidRDefault="00B86FEF" w:rsidP="00B86FEF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>
        <w:rPr>
          <w:rFonts w:ascii="Arial" w:hAnsi="Arial" w:cs="Arial"/>
          <w:b/>
          <w:sz w:val="24"/>
        </w:rPr>
        <w:t>1</w:t>
      </w:r>
      <w:r w:rsidR="00451CED">
        <w:rPr>
          <w:rFonts w:ascii="Arial" w:hAnsi="Arial" w:cs="Arial"/>
          <w:b/>
          <w:sz w:val="24"/>
        </w:rPr>
        <w:t>6</w:t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451CED" w:rsidRPr="00451CED">
        <w:rPr>
          <w:rFonts w:ascii="Arial" w:hAnsi="Arial" w:cs="Arial"/>
          <w:b/>
          <w:sz w:val="24"/>
        </w:rPr>
        <w:t>R4-2511497</w:t>
      </w:r>
    </w:p>
    <w:p w14:paraId="5B9102F0" w14:textId="6597A32C" w:rsidR="00B86FEF" w:rsidRDefault="00451CED" w:rsidP="00B86FEF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Bangalore</w:t>
      </w:r>
      <w:r w:rsidR="00B86FEF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India</w:t>
      </w:r>
      <w:r w:rsidR="00B86FEF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 w:rsidR="00B86FEF" w:rsidRPr="000A7A0F">
        <w:rPr>
          <w:rFonts w:ascii="Arial" w:hAnsi="Arial" w:cs="Arial"/>
          <w:b/>
          <w:sz w:val="24"/>
        </w:rPr>
        <w:t xml:space="preserve">th – </w:t>
      </w:r>
      <w:r w:rsidR="00E81887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9th</w:t>
      </w:r>
      <w:r w:rsidR="00B86FEF"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B86FEF" w:rsidRPr="000A7A0F">
        <w:rPr>
          <w:rFonts w:ascii="Arial" w:hAnsi="Arial" w:cs="Arial"/>
          <w:b/>
          <w:sz w:val="24"/>
        </w:rPr>
        <w:t xml:space="preserve"> 202</w:t>
      </w:r>
      <w:r w:rsidR="00B86FEF"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6EADE3E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451CED" w:rsidRPr="00451CED">
        <w:t>7.6.3.2</w:t>
      </w:r>
    </w:p>
    <w:p w14:paraId="4DBE005A" w14:textId="1A90AD1D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48E89667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451CED" w:rsidRPr="00451CED">
        <w:t>On differentiation between PC1.5 handheld and non-handheld RF requirements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79CEC34" w14:textId="6D7F09C2" w:rsidR="0076514D" w:rsidRDefault="00FF5898" w:rsidP="00E27B54"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="0076514D">
        <w:t xml:space="preserve"> That time the only available power class for NTN was PC3 offering the maximum nominal output power of 23dBm. During the RAN#104 meeting a new WI was agreed </w:t>
      </w:r>
      <w:r w:rsidR="0076514D">
        <w:fldChar w:fldCharType="begin"/>
      </w:r>
      <w:r w:rsidR="0076514D">
        <w:instrText xml:space="preserve"> REF _Ref173832184 \r \h </w:instrText>
      </w:r>
      <w:r w:rsidR="0076514D">
        <w:fldChar w:fldCharType="separate"/>
      </w:r>
      <w:r w:rsidR="0076514D">
        <w:t>[2]</w:t>
      </w:r>
      <w:r w:rsidR="0076514D">
        <w:fldChar w:fldCharType="end"/>
      </w:r>
      <w:r w:rsidR="0076514D">
        <w:t xml:space="preserve"> with one of the objectives to enable higher power classes for NTN.</w:t>
      </w:r>
    </w:p>
    <w:p w14:paraId="2CE9B4B9" w14:textId="438F7F36" w:rsidR="0076514D" w:rsidRDefault="0076514D" w:rsidP="00E27B54">
      <w:r>
        <w:t xml:space="preserve">During the previous </w:t>
      </w:r>
      <w:r w:rsidR="00A45DAC">
        <w:t xml:space="preserve">meetings RAN WG4 </w:t>
      </w:r>
      <w:r w:rsidR="00451CED">
        <w:t>discussed whether to specify or not PC1.5 power class. Since there was uncertainty regarding PC1.5 implementation options for the handheld devices, RAN WG4 concluded that Rel-19 would focus on the non-handheld devices leaving handheld devices as one of the potential topics for Rel-20. However, since the PC1.5 power class may support both handheld and non-handheld devices,</w:t>
      </w:r>
      <w:r w:rsidR="00A45DAC">
        <w:t xml:space="preserve"> </w:t>
      </w:r>
      <w:r w:rsidR="00451CED">
        <w:t xml:space="preserve">it would create a precedent that the same power class covers two device classes, which may have quite different RF requirements. Thus, in this discussion paper we present our further considerations on a need to different between certain RF requirements that could be different both handheld and non-handheld devices.  </w:t>
      </w:r>
    </w:p>
    <w:p w14:paraId="6078594E" w14:textId="5184F859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451CED">
        <w:t>PC1.5 handheld and non-handheld RF requirements</w:t>
      </w:r>
    </w:p>
    <w:p w14:paraId="667B6C8C" w14:textId="144BFD6E" w:rsidR="00C56F95" w:rsidRDefault="00EE0472" w:rsidP="00C56F95">
      <w:pPr>
        <w:jc w:val="both"/>
      </w:pPr>
      <w:r>
        <w:t xml:space="preserve">As </w:t>
      </w:r>
      <w:proofErr w:type="gramStart"/>
      <w:r>
        <w:t>discussed</w:t>
      </w:r>
      <w:proofErr w:type="gramEnd"/>
      <w:r>
        <w:t xml:space="preserve"> and agreed by RAN WG4, PC1.5 for NTN is going to be introduced in Rel-19 but will be limited to the non-handheld devices</w:t>
      </w:r>
      <w:r w:rsidR="00C56F95">
        <w:t>.</w:t>
      </w:r>
      <w:r>
        <w:t xml:space="preserve"> Practically speaking it will mean that all RF requirements defined in Rel-19 will be based on the assumptions, which are not necessarily applicable to the handheld devices; at least RAN WG4 never </w:t>
      </w:r>
      <w:proofErr w:type="gramStart"/>
      <w:r>
        <w:t>made a decision</w:t>
      </w:r>
      <w:proofErr w:type="gramEnd"/>
      <w:r>
        <w:t xml:space="preserve"> that RF assumptions for the PC1.5 non-handheld devices shall be fully aligned with the handheld devices.</w:t>
      </w:r>
    </w:p>
    <w:p w14:paraId="1A548220" w14:textId="088E7607" w:rsidR="00EE0472" w:rsidRDefault="00EE0472" w:rsidP="00EE0472">
      <w:pPr>
        <w:pStyle w:val="Observation"/>
      </w:pPr>
      <w:r>
        <w:t>Observation 1a:</w:t>
      </w:r>
      <w:r>
        <w:tab/>
        <w:t>RAN WG4 agreed to enable PC1.5 for the non-handheld devices in Rel-19.</w:t>
      </w:r>
    </w:p>
    <w:p w14:paraId="0862187A" w14:textId="77777777" w:rsidR="00EE0472" w:rsidRDefault="00EE0472" w:rsidP="00EE0472">
      <w:pPr>
        <w:pStyle w:val="Observation"/>
      </w:pPr>
      <w:r>
        <w:t>Observation 1b:</w:t>
      </w:r>
      <w:r>
        <w:tab/>
        <w:t xml:space="preserve">RAN WG4 never made an agreement that RF assumptions for the PC1.5 non-handheld devices shall be aligned with handhelds. </w:t>
      </w:r>
    </w:p>
    <w:p w14:paraId="24EF0F29" w14:textId="63B345BB" w:rsidR="00EE0472" w:rsidRDefault="00EE0472" w:rsidP="00EE0472">
      <w:pPr>
        <w:pStyle w:val="Observation"/>
      </w:pPr>
      <w:r>
        <w:t>Observation 1c:</w:t>
      </w:r>
      <w:r>
        <w:tab/>
        <w:t>Both PC1.5 1TX and 2TX non-handheld architectures are allowed whereupon RAN WG4 never made an agreement which RF architecture would be feasible for PC1.5 handhelds.</w:t>
      </w:r>
    </w:p>
    <w:p w14:paraId="7592AF21" w14:textId="3D504187" w:rsidR="00EE0472" w:rsidRDefault="00EE0472" w:rsidP="00C56F95">
      <w:pPr>
        <w:jc w:val="both"/>
      </w:pPr>
      <w:r>
        <w:t xml:space="preserve">Based on that we anticipate that RF requirements devised for the PC1.5 non-handheld devices would be directly applicable to the PC1.5 handhelds, which could be defined in Rel-20. While some of the requirements and principles can be </w:t>
      </w:r>
      <w:proofErr w:type="gramStart"/>
      <w:r>
        <w:t>definitely re-used</w:t>
      </w:r>
      <w:proofErr w:type="gramEnd"/>
      <w:r>
        <w:t xml:space="preserve">, there more sensitive aspects, such as RSD and A-MPR, which most likely will be different for handhelds. </w:t>
      </w:r>
    </w:p>
    <w:p w14:paraId="3F849B4B" w14:textId="31B49708" w:rsidR="00EE0472" w:rsidRDefault="00EE0472" w:rsidP="00EE0472">
      <w:pPr>
        <w:pStyle w:val="Observation"/>
      </w:pPr>
      <w:r>
        <w:t>Observation 2:</w:t>
      </w:r>
      <w:r>
        <w:tab/>
        <w:t>We anticipate that certain RF requirements, such as RSD and A-MPR, will be different for non-handheld and handheld devices</w:t>
      </w:r>
      <w:r w:rsidR="00EB340E">
        <w:t xml:space="preserve"> and thus should be differentiated accordingly</w:t>
      </w:r>
      <w:r>
        <w:t xml:space="preserve">. </w:t>
      </w:r>
    </w:p>
    <w:p w14:paraId="0F9F054F" w14:textId="5284FCF8" w:rsidR="00723D09" w:rsidRDefault="00EE0472" w:rsidP="00EE0472">
      <w:r>
        <w:t xml:space="preserve">Based on these considerations we ask RAN WG4 to discuss and agree about a way to differentiate, already in Rel-19, </w:t>
      </w:r>
      <w:r w:rsidR="00EB340E">
        <w:t>between the non-handheld and handheld RF requirements.</w:t>
      </w:r>
      <w:r w:rsidR="00723D09">
        <w:t xml:space="preserve">  </w:t>
      </w:r>
    </w:p>
    <w:p w14:paraId="541B4B3D" w14:textId="77777777" w:rsidR="00326299" w:rsidRDefault="00326299" w:rsidP="00B43710">
      <w:pPr>
        <w:jc w:val="both"/>
      </w:pPr>
    </w:p>
    <w:p w14:paraId="592930EA" w14:textId="77777777" w:rsidR="00223F9E" w:rsidRPr="00BD5FE5" w:rsidRDefault="00223F9E" w:rsidP="00223F9E"/>
    <w:p w14:paraId="34C99636" w14:textId="7917B134" w:rsidR="008E7986" w:rsidRDefault="008E7986" w:rsidP="00E27B54">
      <w:pPr>
        <w:pStyle w:val="Heading1"/>
        <w:keepNext w:val="0"/>
        <w:keepLines w:val="0"/>
      </w:pPr>
      <w:r>
        <w:lastRenderedPageBreak/>
        <w:t>3</w:t>
      </w:r>
      <w:r>
        <w:tab/>
        <w:t>Conclusions</w:t>
      </w:r>
    </w:p>
    <w:p w14:paraId="64DD9E8A" w14:textId="46F6069B" w:rsidR="0022355E" w:rsidRDefault="003C6CB1" w:rsidP="0022355E">
      <w:pPr>
        <w:jc w:val="both"/>
      </w:pPr>
      <w:r w:rsidRPr="001F2981">
        <w:t xml:space="preserve">In this discussion paper we have presented our </w:t>
      </w:r>
      <w:r w:rsidR="00F6681D">
        <w:t xml:space="preserve">view on </w:t>
      </w:r>
      <w:r w:rsidR="00EB340E">
        <w:t xml:space="preserve">a need </w:t>
      </w:r>
      <w:r w:rsidR="00D70F2E">
        <w:t>to differentiate between certain RF requirements, which will be most likely different for the PC1.5 handheld and non-handheld devices</w:t>
      </w:r>
      <w:r w:rsidR="00FB022D">
        <w:t>.</w:t>
      </w:r>
      <w:r w:rsidR="00D70F2E">
        <w:t xml:space="preserve"> Since PC1.5 for the non-handheld devices is going to be introduce in Rel-19, there should be a framework to be able to differentiate between handheld requirements that will be added in Rel-20. </w:t>
      </w:r>
      <w:r w:rsidR="00FB022D">
        <w:t xml:space="preserve"> </w:t>
      </w:r>
      <w:r w:rsidR="00E917D2">
        <w:t xml:space="preserve"> </w:t>
      </w:r>
      <w:r w:rsidR="001F2981">
        <w:t xml:space="preserve"> </w:t>
      </w:r>
      <w:r>
        <w:t xml:space="preserve"> </w:t>
      </w:r>
    </w:p>
    <w:p w14:paraId="77930532" w14:textId="77777777" w:rsidR="00EE0472" w:rsidRDefault="00EE0472" w:rsidP="0022355E">
      <w:pPr>
        <w:jc w:val="both"/>
      </w:pPr>
    </w:p>
    <w:p w14:paraId="668D33E2" w14:textId="77777777" w:rsidR="00EE0472" w:rsidRDefault="00EE0472" w:rsidP="00EE0472">
      <w:pPr>
        <w:pStyle w:val="Observation"/>
      </w:pPr>
      <w:r>
        <w:t>Observation 1a:</w:t>
      </w:r>
      <w:r>
        <w:tab/>
        <w:t>RAN WG4 agreed to enable PC1.5 for the non-handheld devices in Rel-19.</w:t>
      </w:r>
    </w:p>
    <w:p w14:paraId="520C477B" w14:textId="77777777" w:rsidR="00EE0472" w:rsidRDefault="00EE0472" w:rsidP="00EE0472">
      <w:pPr>
        <w:pStyle w:val="Observation"/>
      </w:pPr>
      <w:r>
        <w:t>Observation 1b:</w:t>
      </w:r>
      <w:r>
        <w:tab/>
        <w:t xml:space="preserve">RAN WG4 never made an agreement that RF assumptions for the PC1.5 non-handheld devices shall be aligned with handhelds. </w:t>
      </w:r>
    </w:p>
    <w:p w14:paraId="3C1F267B" w14:textId="77777777" w:rsidR="00EE0472" w:rsidRDefault="00EE0472" w:rsidP="00EE0472">
      <w:pPr>
        <w:pStyle w:val="Observation"/>
      </w:pPr>
      <w:r>
        <w:t>Observation 1c:</w:t>
      </w:r>
      <w:r>
        <w:tab/>
        <w:t>Both PC1.5 1TX and 2TX non-handheld architectures are allowed whereupon RAN WG4 never made an agreement which RF architecture would be feasible for PC1.5 handhelds.</w:t>
      </w:r>
    </w:p>
    <w:p w14:paraId="2635756D" w14:textId="7AB864AE" w:rsidR="00EE0472" w:rsidRDefault="004A3596" w:rsidP="00EE0472">
      <w:pPr>
        <w:pStyle w:val="Observation"/>
      </w:pPr>
      <w:r>
        <w:t>Observation 2:</w:t>
      </w:r>
      <w:r>
        <w:tab/>
        <w:t>We anticipate that certain RF requirements, such as RSD and A-MPR, will be different for non-handheld and handheld devices and thus should be differentiated accordingly</w:t>
      </w:r>
      <w:r w:rsidR="00FE70CF">
        <w:t>.</w:t>
      </w:r>
      <w:r w:rsidR="00EE0472">
        <w:t xml:space="preserve"> </w:t>
      </w:r>
    </w:p>
    <w:p w14:paraId="47C6516C" w14:textId="77777777" w:rsidR="00EE0472" w:rsidRDefault="00EE0472" w:rsidP="0022355E">
      <w:pPr>
        <w:jc w:val="both"/>
      </w:pPr>
    </w:p>
    <w:p w14:paraId="4367EFC7" w14:textId="77777777" w:rsidR="00EE0472" w:rsidRDefault="00EE0472" w:rsidP="0022355E">
      <w:pPr>
        <w:jc w:val="both"/>
      </w:pPr>
    </w:p>
    <w:p w14:paraId="72EF85C8" w14:textId="77777777" w:rsidR="00EE0472" w:rsidRDefault="00EE0472" w:rsidP="00EE0472">
      <w:pPr>
        <w:pStyle w:val="Proposal"/>
      </w:pPr>
      <w:bookmarkStart w:id="1" w:name="_Toc181623679"/>
      <w:bookmarkStart w:id="2" w:name="_Toc181898561"/>
      <w:bookmarkStart w:id="3" w:name="_Toc181986430"/>
      <w:bookmarkStart w:id="4" w:name="_Toc181986491"/>
      <w:bookmarkStart w:id="5" w:name="_Toc181986882"/>
      <w:bookmarkStart w:id="6" w:name="_Toc189659801"/>
      <w:bookmarkStart w:id="7" w:name="_Toc189659927"/>
      <w:bookmarkStart w:id="8" w:name="_Toc189838423"/>
      <w:bookmarkStart w:id="9" w:name="_Toc189840931"/>
      <w:bookmarkStart w:id="10" w:name="_Toc189841056"/>
      <w:bookmarkStart w:id="11" w:name="_Toc193208423"/>
      <w:bookmarkStart w:id="12" w:name="_Toc193208486"/>
      <w:bookmarkStart w:id="13" w:name="_Toc193209378"/>
      <w:bookmarkStart w:id="14" w:name="_Toc193284457"/>
      <w:bookmarkStart w:id="15" w:name="_Toc193987708"/>
      <w:bookmarkStart w:id="16" w:name="_Toc193988319"/>
      <w:bookmarkStart w:id="17" w:name="_Toc193989707"/>
      <w:bookmarkStart w:id="18" w:name="_Toc193989828"/>
      <w:bookmarkStart w:id="19" w:name="_Toc197724452"/>
      <w:bookmarkStart w:id="20" w:name="_Toc197725258"/>
      <w:bookmarkStart w:id="21" w:name="_Toc197725546"/>
      <w:bookmarkStart w:id="22" w:name="_Toc206185079"/>
      <w:r>
        <w:t>Proposal 1:</w:t>
      </w:r>
      <w:r>
        <w:tab/>
        <w:t>Since PC1.5 handheld and non-handheld devices can be based on different RF architectures (and use different RF components), at least the following RF requirements should be differentiated already in Rel-19: Rx RSD and Tx A-MPR.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69EC4EA7" w14:textId="77777777" w:rsidR="00EE0472" w:rsidRDefault="00EE0472" w:rsidP="00EE0472">
      <w:pPr>
        <w:pStyle w:val="Proposal"/>
      </w:pPr>
      <w:bookmarkStart w:id="23" w:name="_Toc206185080"/>
      <w:r>
        <w:t>Proposal 2:</w:t>
      </w:r>
      <w:r>
        <w:tab/>
        <w:t>If PC1.5 A-MPR requirements are defined for non-handheld devices in Rel-19, they should be differentiated from handheld A-MPR that will be defined in Rel-20.</w:t>
      </w:r>
      <w:bookmarkEnd w:id="23"/>
      <w:r>
        <w:t xml:space="preserve"> </w:t>
      </w:r>
    </w:p>
    <w:p w14:paraId="29924665" w14:textId="77777777" w:rsidR="00EE0472" w:rsidRDefault="00EE0472" w:rsidP="00EE0472">
      <w:pPr>
        <w:pStyle w:val="Proposal"/>
      </w:pPr>
      <w:bookmarkStart w:id="24" w:name="_Toc206185081"/>
      <w:r>
        <w:t>Proposal 3:</w:t>
      </w:r>
      <w:r>
        <w:tab/>
        <w:t>If PC1.5 RSD requirements are defined for non-handheld devices in Rel-19, they should be differentiated from handheld RSD that will be defined in Rel-20.</w:t>
      </w:r>
      <w:bookmarkEnd w:id="24"/>
      <w:r>
        <w:t xml:space="preserve"> </w:t>
      </w:r>
    </w:p>
    <w:p w14:paraId="23684A1A" w14:textId="77777777" w:rsidR="00EE0472" w:rsidRDefault="00EE0472" w:rsidP="0022355E">
      <w:pPr>
        <w:jc w:val="both"/>
      </w:pPr>
    </w:p>
    <w:p w14:paraId="2E88464D" w14:textId="06AFAABD" w:rsidR="00EE0472" w:rsidRDefault="00B12A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 w:rsidRPr="00477364">
        <w:rPr>
          <w:b w:val="0"/>
          <w:bCs w:val="0"/>
        </w:rPr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</w:p>
    <w:p w14:paraId="0A9AC9A5" w14:textId="55D0E4FE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25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25"/>
    </w:p>
    <w:p w14:paraId="672A525E" w14:textId="470B376A" w:rsidR="009335CA" w:rsidRDefault="009335CA" w:rsidP="00FF5898">
      <w:pPr>
        <w:pStyle w:val="EX"/>
        <w:numPr>
          <w:ilvl w:val="0"/>
          <w:numId w:val="5"/>
        </w:numPr>
      </w:pPr>
      <w:bookmarkStart w:id="26" w:name="_Ref173832184"/>
      <w:r w:rsidRPr="009335CA">
        <w:t>RP-240857, "New WID: Enhanced requirements and test methodology for NR and IoT NTN"</w:t>
      </w:r>
      <w:bookmarkEnd w:id="26"/>
    </w:p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79B6A" w14:textId="77777777" w:rsidR="006D105A" w:rsidRDefault="006D105A">
      <w:r>
        <w:separator/>
      </w:r>
    </w:p>
  </w:endnote>
  <w:endnote w:type="continuationSeparator" w:id="0">
    <w:p w14:paraId="7B941224" w14:textId="77777777" w:rsidR="006D105A" w:rsidRDefault="006D1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4053C" w14:textId="77777777" w:rsidR="006D105A" w:rsidRDefault="006D105A">
      <w:r>
        <w:separator/>
      </w:r>
    </w:p>
  </w:footnote>
  <w:footnote w:type="continuationSeparator" w:id="0">
    <w:p w14:paraId="2B23B07A" w14:textId="77777777" w:rsidR="006D105A" w:rsidRDefault="006D1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014C3"/>
    <w:multiLevelType w:val="hybridMultilevel"/>
    <w:tmpl w:val="D174C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2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7"/>
  </w:num>
  <w:num w:numId="8" w16cid:durableId="1615483003">
    <w:abstractNumId w:val="5"/>
  </w:num>
  <w:num w:numId="9" w16cid:durableId="851380668">
    <w:abstractNumId w:val="3"/>
  </w:num>
  <w:num w:numId="10" w16cid:durableId="1065031371">
    <w:abstractNumId w:val="6"/>
  </w:num>
  <w:num w:numId="11" w16cid:durableId="1240287691">
    <w:abstractNumId w:val="9"/>
  </w:num>
  <w:num w:numId="12" w16cid:durableId="1440906995">
    <w:abstractNumId w:val="8"/>
  </w:num>
  <w:num w:numId="13" w16cid:durableId="1987856031">
    <w:abstractNumId w:val="11"/>
  </w:num>
  <w:num w:numId="14" w16cid:durableId="227036294">
    <w:abstractNumId w:val="10"/>
  </w:num>
  <w:num w:numId="15" w16cid:durableId="11191803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179C1"/>
    <w:rsid w:val="00022584"/>
    <w:rsid w:val="00024025"/>
    <w:rsid w:val="00025132"/>
    <w:rsid w:val="00026A8F"/>
    <w:rsid w:val="0003171C"/>
    <w:rsid w:val="00033397"/>
    <w:rsid w:val="00033F3B"/>
    <w:rsid w:val="00040095"/>
    <w:rsid w:val="00043628"/>
    <w:rsid w:val="000462FF"/>
    <w:rsid w:val="00050D5E"/>
    <w:rsid w:val="00051834"/>
    <w:rsid w:val="000518D2"/>
    <w:rsid w:val="00052D38"/>
    <w:rsid w:val="00054A22"/>
    <w:rsid w:val="000552A4"/>
    <w:rsid w:val="00061B0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2644"/>
    <w:rsid w:val="00093952"/>
    <w:rsid w:val="00094844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44C"/>
    <w:rsid w:val="000B5B22"/>
    <w:rsid w:val="000B6FC9"/>
    <w:rsid w:val="000C023C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039C"/>
    <w:rsid w:val="000F24EE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4EE5"/>
    <w:rsid w:val="00115165"/>
    <w:rsid w:val="00115A87"/>
    <w:rsid w:val="00117B20"/>
    <w:rsid w:val="00120DC1"/>
    <w:rsid w:val="00122E3B"/>
    <w:rsid w:val="00124237"/>
    <w:rsid w:val="00131646"/>
    <w:rsid w:val="00133525"/>
    <w:rsid w:val="001378AC"/>
    <w:rsid w:val="00141DDF"/>
    <w:rsid w:val="00142642"/>
    <w:rsid w:val="001502E3"/>
    <w:rsid w:val="00150344"/>
    <w:rsid w:val="001527DF"/>
    <w:rsid w:val="00153861"/>
    <w:rsid w:val="0015733E"/>
    <w:rsid w:val="00161A9C"/>
    <w:rsid w:val="00162B64"/>
    <w:rsid w:val="0016318C"/>
    <w:rsid w:val="00164651"/>
    <w:rsid w:val="00171755"/>
    <w:rsid w:val="0017669C"/>
    <w:rsid w:val="00176C55"/>
    <w:rsid w:val="00177BF7"/>
    <w:rsid w:val="0018138C"/>
    <w:rsid w:val="00185F4C"/>
    <w:rsid w:val="001932FD"/>
    <w:rsid w:val="001940D3"/>
    <w:rsid w:val="00197385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6C60"/>
    <w:rsid w:val="001C21C3"/>
    <w:rsid w:val="001C2CB7"/>
    <w:rsid w:val="001D02C2"/>
    <w:rsid w:val="001D03D7"/>
    <w:rsid w:val="001D28FA"/>
    <w:rsid w:val="001D3AF9"/>
    <w:rsid w:val="001D6D52"/>
    <w:rsid w:val="001D6FE0"/>
    <w:rsid w:val="001D7E7C"/>
    <w:rsid w:val="001E082A"/>
    <w:rsid w:val="001E11D4"/>
    <w:rsid w:val="001E44ED"/>
    <w:rsid w:val="001E4F2C"/>
    <w:rsid w:val="001F0C1D"/>
    <w:rsid w:val="001F1132"/>
    <w:rsid w:val="001F168B"/>
    <w:rsid w:val="001F2981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06830"/>
    <w:rsid w:val="00215DAD"/>
    <w:rsid w:val="0021693C"/>
    <w:rsid w:val="00221D23"/>
    <w:rsid w:val="0022355E"/>
    <w:rsid w:val="00223F9E"/>
    <w:rsid w:val="00224F48"/>
    <w:rsid w:val="002347A2"/>
    <w:rsid w:val="002349A1"/>
    <w:rsid w:val="002361C7"/>
    <w:rsid w:val="002430C5"/>
    <w:rsid w:val="0024429F"/>
    <w:rsid w:val="002448D4"/>
    <w:rsid w:val="0024493C"/>
    <w:rsid w:val="00244C4E"/>
    <w:rsid w:val="00247926"/>
    <w:rsid w:val="00250D2B"/>
    <w:rsid w:val="00252476"/>
    <w:rsid w:val="0025773F"/>
    <w:rsid w:val="002616A3"/>
    <w:rsid w:val="002649BE"/>
    <w:rsid w:val="00266CEF"/>
    <w:rsid w:val="002675F0"/>
    <w:rsid w:val="00267E9C"/>
    <w:rsid w:val="00270751"/>
    <w:rsid w:val="00276720"/>
    <w:rsid w:val="00276EE4"/>
    <w:rsid w:val="00282556"/>
    <w:rsid w:val="0028458C"/>
    <w:rsid w:val="00285549"/>
    <w:rsid w:val="00285B74"/>
    <w:rsid w:val="00286EA5"/>
    <w:rsid w:val="00293332"/>
    <w:rsid w:val="002947F2"/>
    <w:rsid w:val="002A006D"/>
    <w:rsid w:val="002A02C9"/>
    <w:rsid w:val="002A3F44"/>
    <w:rsid w:val="002A4457"/>
    <w:rsid w:val="002A564B"/>
    <w:rsid w:val="002A6DDF"/>
    <w:rsid w:val="002A76C8"/>
    <w:rsid w:val="002A79F8"/>
    <w:rsid w:val="002B0881"/>
    <w:rsid w:val="002B1504"/>
    <w:rsid w:val="002B6339"/>
    <w:rsid w:val="002C3FD9"/>
    <w:rsid w:val="002C5078"/>
    <w:rsid w:val="002C5A06"/>
    <w:rsid w:val="002D207F"/>
    <w:rsid w:val="002D7E68"/>
    <w:rsid w:val="002E00EE"/>
    <w:rsid w:val="002E24A2"/>
    <w:rsid w:val="002E2B0B"/>
    <w:rsid w:val="002E350A"/>
    <w:rsid w:val="002E4080"/>
    <w:rsid w:val="002F5932"/>
    <w:rsid w:val="002F662D"/>
    <w:rsid w:val="002F6BE3"/>
    <w:rsid w:val="002F6F2B"/>
    <w:rsid w:val="002F747C"/>
    <w:rsid w:val="00300720"/>
    <w:rsid w:val="0030293A"/>
    <w:rsid w:val="003040C1"/>
    <w:rsid w:val="00304790"/>
    <w:rsid w:val="00304DE1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23D45"/>
    <w:rsid w:val="00326299"/>
    <w:rsid w:val="003327D4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1245"/>
    <w:rsid w:val="00362028"/>
    <w:rsid w:val="00364C39"/>
    <w:rsid w:val="00364DB5"/>
    <w:rsid w:val="00370606"/>
    <w:rsid w:val="0037554F"/>
    <w:rsid w:val="003765B8"/>
    <w:rsid w:val="00376964"/>
    <w:rsid w:val="00376ADC"/>
    <w:rsid w:val="003801C1"/>
    <w:rsid w:val="00383354"/>
    <w:rsid w:val="003860C9"/>
    <w:rsid w:val="0039394E"/>
    <w:rsid w:val="003944B2"/>
    <w:rsid w:val="00395441"/>
    <w:rsid w:val="00396104"/>
    <w:rsid w:val="00396119"/>
    <w:rsid w:val="003A0483"/>
    <w:rsid w:val="003A4243"/>
    <w:rsid w:val="003A5C0D"/>
    <w:rsid w:val="003A6046"/>
    <w:rsid w:val="003B47E1"/>
    <w:rsid w:val="003B4BAF"/>
    <w:rsid w:val="003B5ABB"/>
    <w:rsid w:val="003B6864"/>
    <w:rsid w:val="003C15C2"/>
    <w:rsid w:val="003C3971"/>
    <w:rsid w:val="003C65F9"/>
    <w:rsid w:val="003C6CB1"/>
    <w:rsid w:val="003D17F9"/>
    <w:rsid w:val="003D2873"/>
    <w:rsid w:val="003D4220"/>
    <w:rsid w:val="003D5F45"/>
    <w:rsid w:val="003E249B"/>
    <w:rsid w:val="003E390C"/>
    <w:rsid w:val="003E7753"/>
    <w:rsid w:val="003F4198"/>
    <w:rsid w:val="003F59B1"/>
    <w:rsid w:val="003F68E6"/>
    <w:rsid w:val="00400A77"/>
    <w:rsid w:val="004012FF"/>
    <w:rsid w:val="004024BA"/>
    <w:rsid w:val="00410303"/>
    <w:rsid w:val="0041182B"/>
    <w:rsid w:val="00415CD5"/>
    <w:rsid w:val="004161BB"/>
    <w:rsid w:val="00416AC7"/>
    <w:rsid w:val="0042139E"/>
    <w:rsid w:val="00421933"/>
    <w:rsid w:val="0042311F"/>
    <w:rsid w:val="00423334"/>
    <w:rsid w:val="004256C2"/>
    <w:rsid w:val="00430D10"/>
    <w:rsid w:val="00434540"/>
    <w:rsid w:val="004345EC"/>
    <w:rsid w:val="00443614"/>
    <w:rsid w:val="00443B1F"/>
    <w:rsid w:val="00444146"/>
    <w:rsid w:val="004509C1"/>
    <w:rsid w:val="0045109D"/>
    <w:rsid w:val="004517D4"/>
    <w:rsid w:val="00451CED"/>
    <w:rsid w:val="00453AE1"/>
    <w:rsid w:val="00453FB9"/>
    <w:rsid w:val="00461B71"/>
    <w:rsid w:val="00463255"/>
    <w:rsid w:val="004634D0"/>
    <w:rsid w:val="0046392D"/>
    <w:rsid w:val="0046714E"/>
    <w:rsid w:val="00467E11"/>
    <w:rsid w:val="004709C4"/>
    <w:rsid w:val="00476248"/>
    <w:rsid w:val="004826A9"/>
    <w:rsid w:val="004837BD"/>
    <w:rsid w:val="00487951"/>
    <w:rsid w:val="00487E97"/>
    <w:rsid w:val="0049129B"/>
    <w:rsid w:val="00497E40"/>
    <w:rsid w:val="004A29F7"/>
    <w:rsid w:val="004A34B7"/>
    <w:rsid w:val="004A3596"/>
    <w:rsid w:val="004A37DE"/>
    <w:rsid w:val="004B09FC"/>
    <w:rsid w:val="004B12D6"/>
    <w:rsid w:val="004B31E2"/>
    <w:rsid w:val="004B3E42"/>
    <w:rsid w:val="004B5470"/>
    <w:rsid w:val="004B6798"/>
    <w:rsid w:val="004C01E1"/>
    <w:rsid w:val="004C0A2E"/>
    <w:rsid w:val="004C1601"/>
    <w:rsid w:val="004C3099"/>
    <w:rsid w:val="004C38A8"/>
    <w:rsid w:val="004C7B37"/>
    <w:rsid w:val="004D3578"/>
    <w:rsid w:val="004E213A"/>
    <w:rsid w:val="004E27ED"/>
    <w:rsid w:val="004E2D77"/>
    <w:rsid w:val="004E37F2"/>
    <w:rsid w:val="004E38CC"/>
    <w:rsid w:val="004E54A2"/>
    <w:rsid w:val="004E5703"/>
    <w:rsid w:val="004E7FD6"/>
    <w:rsid w:val="004F0988"/>
    <w:rsid w:val="004F1928"/>
    <w:rsid w:val="004F29F1"/>
    <w:rsid w:val="004F3340"/>
    <w:rsid w:val="004F37C1"/>
    <w:rsid w:val="004F3E3D"/>
    <w:rsid w:val="004F486C"/>
    <w:rsid w:val="004F6857"/>
    <w:rsid w:val="004F78EB"/>
    <w:rsid w:val="004F7B0A"/>
    <w:rsid w:val="00500EE3"/>
    <w:rsid w:val="005038A5"/>
    <w:rsid w:val="005041D3"/>
    <w:rsid w:val="00507DB2"/>
    <w:rsid w:val="005116B8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158B"/>
    <w:rsid w:val="00541C18"/>
    <w:rsid w:val="00543662"/>
    <w:rsid w:val="00543E6C"/>
    <w:rsid w:val="005466EB"/>
    <w:rsid w:val="00550D79"/>
    <w:rsid w:val="00554492"/>
    <w:rsid w:val="005558F9"/>
    <w:rsid w:val="00555910"/>
    <w:rsid w:val="00557742"/>
    <w:rsid w:val="0055784E"/>
    <w:rsid w:val="005618B2"/>
    <w:rsid w:val="005634E1"/>
    <w:rsid w:val="00565087"/>
    <w:rsid w:val="0057261C"/>
    <w:rsid w:val="00572A94"/>
    <w:rsid w:val="00572E14"/>
    <w:rsid w:val="00574533"/>
    <w:rsid w:val="005759F9"/>
    <w:rsid w:val="005767D7"/>
    <w:rsid w:val="005837C8"/>
    <w:rsid w:val="0058531F"/>
    <w:rsid w:val="005861FD"/>
    <w:rsid w:val="00590D4B"/>
    <w:rsid w:val="0059102D"/>
    <w:rsid w:val="00592DE0"/>
    <w:rsid w:val="005938A2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C6D6D"/>
    <w:rsid w:val="005D0294"/>
    <w:rsid w:val="005D27B5"/>
    <w:rsid w:val="005D2E01"/>
    <w:rsid w:val="005D4624"/>
    <w:rsid w:val="005D52B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AA5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721D"/>
    <w:rsid w:val="00667FCD"/>
    <w:rsid w:val="0067193B"/>
    <w:rsid w:val="00672E1E"/>
    <w:rsid w:val="00673EF2"/>
    <w:rsid w:val="006777F3"/>
    <w:rsid w:val="00677B76"/>
    <w:rsid w:val="006800C1"/>
    <w:rsid w:val="0068188F"/>
    <w:rsid w:val="00690AB3"/>
    <w:rsid w:val="00690E24"/>
    <w:rsid w:val="00691014"/>
    <w:rsid w:val="00695ACB"/>
    <w:rsid w:val="0069676C"/>
    <w:rsid w:val="0069685D"/>
    <w:rsid w:val="006974B3"/>
    <w:rsid w:val="006A323F"/>
    <w:rsid w:val="006A3699"/>
    <w:rsid w:val="006A4C43"/>
    <w:rsid w:val="006A5B00"/>
    <w:rsid w:val="006B30D0"/>
    <w:rsid w:val="006B5F7C"/>
    <w:rsid w:val="006B7D66"/>
    <w:rsid w:val="006C1EB2"/>
    <w:rsid w:val="006C2B4C"/>
    <w:rsid w:val="006C351C"/>
    <w:rsid w:val="006C3B46"/>
    <w:rsid w:val="006C3D95"/>
    <w:rsid w:val="006C5CE0"/>
    <w:rsid w:val="006C7DE7"/>
    <w:rsid w:val="006D012B"/>
    <w:rsid w:val="006D105A"/>
    <w:rsid w:val="006D21E5"/>
    <w:rsid w:val="006D493B"/>
    <w:rsid w:val="006D7439"/>
    <w:rsid w:val="006E0125"/>
    <w:rsid w:val="006E0326"/>
    <w:rsid w:val="006E1969"/>
    <w:rsid w:val="006E2D06"/>
    <w:rsid w:val="006E332E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13C44"/>
    <w:rsid w:val="0071576F"/>
    <w:rsid w:val="00723101"/>
    <w:rsid w:val="00723949"/>
    <w:rsid w:val="00723D0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2198"/>
    <w:rsid w:val="00753881"/>
    <w:rsid w:val="007579E3"/>
    <w:rsid w:val="00760AA3"/>
    <w:rsid w:val="00761DA3"/>
    <w:rsid w:val="00764DB5"/>
    <w:rsid w:val="0076514D"/>
    <w:rsid w:val="007651E9"/>
    <w:rsid w:val="00766376"/>
    <w:rsid w:val="00770F6A"/>
    <w:rsid w:val="00771457"/>
    <w:rsid w:val="007716DF"/>
    <w:rsid w:val="00774DA4"/>
    <w:rsid w:val="00776727"/>
    <w:rsid w:val="00781F0F"/>
    <w:rsid w:val="007822F4"/>
    <w:rsid w:val="00783562"/>
    <w:rsid w:val="00783C23"/>
    <w:rsid w:val="00793210"/>
    <w:rsid w:val="00796F12"/>
    <w:rsid w:val="007A306B"/>
    <w:rsid w:val="007A5A83"/>
    <w:rsid w:val="007B110F"/>
    <w:rsid w:val="007B211A"/>
    <w:rsid w:val="007B36EA"/>
    <w:rsid w:val="007B600E"/>
    <w:rsid w:val="007C0A8D"/>
    <w:rsid w:val="007C0E3E"/>
    <w:rsid w:val="007C1272"/>
    <w:rsid w:val="007C2BB0"/>
    <w:rsid w:val="007C2CD5"/>
    <w:rsid w:val="007C3BC1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1184D"/>
    <w:rsid w:val="00813C6A"/>
    <w:rsid w:val="008163E0"/>
    <w:rsid w:val="00820B25"/>
    <w:rsid w:val="00822E73"/>
    <w:rsid w:val="00823B74"/>
    <w:rsid w:val="008272CE"/>
    <w:rsid w:val="00830747"/>
    <w:rsid w:val="008311F8"/>
    <w:rsid w:val="008321F9"/>
    <w:rsid w:val="0083542B"/>
    <w:rsid w:val="00837E7E"/>
    <w:rsid w:val="0084144D"/>
    <w:rsid w:val="008433DC"/>
    <w:rsid w:val="0085063B"/>
    <w:rsid w:val="00850EF7"/>
    <w:rsid w:val="00854961"/>
    <w:rsid w:val="008565C4"/>
    <w:rsid w:val="00861F21"/>
    <w:rsid w:val="008621D8"/>
    <w:rsid w:val="00863C72"/>
    <w:rsid w:val="00866877"/>
    <w:rsid w:val="00866E39"/>
    <w:rsid w:val="00872482"/>
    <w:rsid w:val="008768CA"/>
    <w:rsid w:val="00881CD6"/>
    <w:rsid w:val="00883455"/>
    <w:rsid w:val="008843A2"/>
    <w:rsid w:val="00884D7F"/>
    <w:rsid w:val="0089167B"/>
    <w:rsid w:val="00892B35"/>
    <w:rsid w:val="00894AB0"/>
    <w:rsid w:val="00896799"/>
    <w:rsid w:val="008A460F"/>
    <w:rsid w:val="008A485A"/>
    <w:rsid w:val="008A7323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41E2"/>
    <w:rsid w:val="008D588A"/>
    <w:rsid w:val="008E3D0D"/>
    <w:rsid w:val="008E7986"/>
    <w:rsid w:val="008E7A49"/>
    <w:rsid w:val="008F0D3D"/>
    <w:rsid w:val="008F2044"/>
    <w:rsid w:val="008F3CDD"/>
    <w:rsid w:val="0090271F"/>
    <w:rsid w:val="00902E23"/>
    <w:rsid w:val="009035DB"/>
    <w:rsid w:val="00903EF6"/>
    <w:rsid w:val="009076EE"/>
    <w:rsid w:val="009104E8"/>
    <w:rsid w:val="00910BC7"/>
    <w:rsid w:val="00911006"/>
    <w:rsid w:val="009114D7"/>
    <w:rsid w:val="00912C69"/>
    <w:rsid w:val="0091348E"/>
    <w:rsid w:val="00913AC2"/>
    <w:rsid w:val="00914CEF"/>
    <w:rsid w:val="00914DDA"/>
    <w:rsid w:val="00917807"/>
    <w:rsid w:val="00917CCB"/>
    <w:rsid w:val="009205B7"/>
    <w:rsid w:val="00920C02"/>
    <w:rsid w:val="009219A3"/>
    <w:rsid w:val="00922D05"/>
    <w:rsid w:val="00923A2E"/>
    <w:rsid w:val="00924758"/>
    <w:rsid w:val="0092641B"/>
    <w:rsid w:val="009279B4"/>
    <w:rsid w:val="00931553"/>
    <w:rsid w:val="009316BF"/>
    <w:rsid w:val="009335CA"/>
    <w:rsid w:val="00935D71"/>
    <w:rsid w:val="00937E3F"/>
    <w:rsid w:val="00940D43"/>
    <w:rsid w:val="009415AC"/>
    <w:rsid w:val="00942EC2"/>
    <w:rsid w:val="0094373D"/>
    <w:rsid w:val="00945132"/>
    <w:rsid w:val="00945B01"/>
    <w:rsid w:val="009516F6"/>
    <w:rsid w:val="00951A2E"/>
    <w:rsid w:val="0095410C"/>
    <w:rsid w:val="00955C25"/>
    <w:rsid w:val="0095616A"/>
    <w:rsid w:val="0095641F"/>
    <w:rsid w:val="00960253"/>
    <w:rsid w:val="00960E66"/>
    <w:rsid w:val="00967996"/>
    <w:rsid w:val="009708E0"/>
    <w:rsid w:val="00973346"/>
    <w:rsid w:val="009755A8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2332"/>
    <w:rsid w:val="009B29DE"/>
    <w:rsid w:val="009B4476"/>
    <w:rsid w:val="009C067E"/>
    <w:rsid w:val="009C2464"/>
    <w:rsid w:val="009C2C1B"/>
    <w:rsid w:val="009C5E4C"/>
    <w:rsid w:val="009D2703"/>
    <w:rsid w:val="009D3B48"/>
    <w:rsid w:val="009D3F00"/>
    <w:rsid w:val="009E3057"/>
    <w:rsid w:val="009E4032"/>
    <w:rsid w:val="009E5781"/>
    <w:rsid w:val="009E7750"/>
    <w:rsid w:val="009F37B7"/>
    <w:rsid w:val="009F5009"/>
    <w:rsid w:val="009F55B3"/>
    <w:rsid w:val="009F5E43"/>
    <w:rsid w:val="009F6E2F"/>
    <w:rsid w:val="00A01247"/>
    <w:rsid w:val="00A01C2B"/>
    <w:rsid w:val="00A05AB6"/>
    <w:rsid w:val="00A06A65"/>
    <w:rsid w:val="00A103D8"/>
    <w:rsid w:val="00A104FF"/>
    <w:rsid w:val="00A10F02"/>
    <w:rsid w:val="00A12136"/>
    <w:rsid w:val="00A1260C"/>
    <w:rsid w:val="00A15B1F"/>
    <w:rsid w:val="00A15BD4"/>
    <w:rsid w:val="00A164B4"/>
    <w:rsid w:val="00A172C7"/>
    <w:rsid w:val="00A200FA"/>
    <w:rsid w:val="00A20B73"/>
    <w:rsid w:val="00A213B1"/>
    <w:rsid w:val="00A23BF1"/>
    <w:rsid w:val="00A243C8"/>
    <w:rsid w:val="00A26956"/>
    <w:rsid w:val="00A26B8E"/>
    <w:rsid w:val="00A309A6"/>
    <w:rsid w:val="00A3236C"/>
    <w:rsid w:val="00A32451"/>
    <w:rsid w:val="00A36357"/>
    <w:rsid w:val="00A42D4C"/>
    <w:rsid w:val="00A45DAC"/>
    <w:rsid w:val="00A5077F"/>
    <w:rsid w:val="00A50E09"/>
    <w:rsid w:val="00A52241"/>
    <w:rsid w:val="00A52E6C"/>
    <w:rsid w:val="00A53724"/>
    <w:rsid w:val="00A556DB"/>
    <w:rsid w:val="00A61D6B"/>
    <w:rsid w:val="00A63895"/>
    <w:rsid w:val="00A6585D"/>
    <w:rsid w:val="00A67458"/>
    <w:rsid w:val="00A73129"/>
    <w:rsid w:val="00A7427F"/>
    <w:rsid w:val="00A751B1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A456E"/>
    <w:rsid w:val="00AA5735"/>
    <w:rsid w:val="00AB0E32"/>
    <w:rsid w:val="00AB2852"/>
    <w:rsid w:val="00AB2D27"/>
    <w:rsid w:val="00AB3997"/>
    <w:rsid w:val="00AB3AF4"/>
    <w:rsid w:val="00AC176F"/>
    <w:rsid w:val="00AC30FF"/>
    <w:rsid w:val="00AC3A0D"/>
    <w:rsid w:val="00AC4113"/>
    <w:rsid w:val="00AC6BC6"/>
    <w:rsid w:val="00AD30A9"/>
    <w:rsid w:val="00AD32F4"/>
    <w:rsid w:val="00AD3CE6"/>
    <w:rsid w:val="00AD7733"/>
    <w:rsid w:val="00AD7B15"/>
    <w:rsid w:val="00AE1E1D"/>
    <w:rsid w:val="00AE24D1"/>
    <w:rsid w:val="00AE2C35"/>
    <w:rsid w:val="00AE3797"/>
    <w:rsid w:val="00AE6DAB"/>
    <w:rsid w:val="00AF0800"/>
    <w:rsid w:val="00AF4C4A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0F57"/>
    <w:rsid w:val="00B31AF8"/>
    <w:rsid w:val="00B31EAB"/>
    <w:rsid w:val="00B3313E"/>
    <w:rsid w:val="00B34AF8"/>
    <w:rsid w:val="00B35701"/>
    <w:rsid w:val="00B3794F"/>
    <w:rsid w:val="00B4064C"/>
    <w:rsid w:val="00B40A30"/>
    <w:rsid w:val="00B42610"/>
    <w:rsid w:val="00B42970"/>
    <w:rsid w:val="00B43710"/>
    <w:rsid w:val="00B439C4"/>
    <w:rsid w:val="00B43A44"/>
    <w:rsid w:val="00B44472"/>
    <w:rsid w:val="00B45BF1"/>
    <w:rsid w:val="00B45F2F"/>
    <w:rsid w:val="00B5091E"/>
    <w:rsid w:val="00B521BD"/>
    <w:rsid w:val="00B53303"/>
    <w:rsid w:val="00B54890"/>
    <w:rsid w:val="00B57A69"/>
    <w:rsid w:val="00B57EC0"/>
    <w:rsid w:val="00B6028B"/>
    <w:rsid w:val="00B60AF5"/>
    <w:rsid w:val="00B62F65"/>
    <w:rsid w:val="00B64B30"/>
    <w:rsid w:val="00B66212"/>
    <w:rsid w:val="00B72A82"/>
    <w:rsid w:val="00B7661E"/>
    <w:rsid w:val="00B76CA8"/>
    <w:rsid w:val="00B76F6D"/>
    <w:rsid w:val="00B77756"/>
    <w:rsid w:val="00B82C3C"/>
    <w:rsid w:val="00B83905"/>
    <w:rsid w:val="00B848D4"/>
    <w:rsid w:val="00B84C46"/>
    <w:rsid w:val="00B851D2"/>
    <w:rsid w:val="00B86FEF"/>
    <w:rsid w:val="00B8789D"/>
    <w:rsid w:val="00B9159B"/>
    <w:rsid w:val="00B918A8"/>
    <w:rsid w:val="00B92026"/>
    <w:rsid w:val="00B93086"/>
    <w:rsid w:val="00B94402"/>
    <w:rsid w:val="00B97442"/>
    <w:rsid w:val="00BA1501"/>
    <w:rsid w:val="00BA19ED"/>
    <w:rsid w:val="00BA1B8A"/>
    <w:rsid w:val="00BA1F7D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C3AB1"/>
    <w:rsid w:val="00BD187E"/>
    <w:rsid w:val="00BD25F6"/>
    <w:rsid w:val="00BD4B06"/>
    <w:rsid w:val="00BD56A7"/>
    <w:rsid w:val="00BD5FE5"/>
    <w:rsid w:val="00BD6168"/>
    <w:rsid w:val="00BD6C61"/>
    <w:rsid w:val="00BD7355"/>
    <w:rsid w:val="00BE0421"/>
    <w:rsid w:val="00BE3255"/>
    <w:rsid w:val="00BF128E"/>
    <w:rsid w:val="00BF41A6"/>
    <w:rsid w:val="00C03F8A"/>
    <w:rsid w:val="00C04C47"/>
    <w:rsid w:val="00C1496A"/>
    <w:rsid w:val="00C14A0C"/>
    <w:rsid w:val="00C15897"/>
    <w:rsid w:val="00C246BA"/>
    <w:rsid w:val="00C260C6"/>
    <w:rsid w:val="00C27E8E"/>
    <w:rsid w:val="00C27F76"/>
    <w:rsid w:val="00C33079"/>
    <w:rsid w:val="00C34B0A"/>
    <w:rsid w:val="00C379D8"/>
    <w:rsid w:val="00C4354A"/>
    <w:rsid w:val="00C45231"/>
    <w:rsid w:val="00C50C74"/>
    <w:rsid w:val="00C5255E"/>
    <w:rsid w:val="00C5359F"/>
    <w:rsid w:val="00C5685D"/>
    <w:rsid w:val="00C56F95"/>
    <w:rsid w:val="00C60513"/>
    <w:rsid w:val="00C61D1C"/>
    <w:rsid w:val="00C646D1"/>
    <w:rsid w:val="00C6630F"/>
    <w:rsid w:val="00C7026E"/>
    <w:rsid w:val="00C724F5"/>
    <w:rsid w:val="00C72833"/>
    <w:rsid w:val="00C73514"/>
    <w:rsid w:val="00C74AFF"/>
    <w:rsid w:val="00C74D91"/>
    <w:rsid w:val="00C76E47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1613"/>
    <w:rsid w:val="00CD4B25"/>
    <w:rsid w:val="00CD4BE0"/>
    <w:rsid w:val="00CD6FF5"/>
    <w:rsid w:val="00CD7B5B"/>
    <w:rsid w:val="00CE035B"/>
    <w:rsid w:val="00CE0F97"/>
    <w:rsid w:val="00CE7369"/>
    <w:rsid w:val="00CF20E3"/>
    <w:rsid w:val="00CF4E71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53E6"/>
    <w:rsid w:val="00D46431"/>
    <w:rsid w:val="00D468B9"/>
    <w:rsid w:val="00D54B60"/>
    <w:rsid w:val="00D553ED"/>
    <w:rsid w:val="00D56A52"/>
    <w:rsid w:val="00D57608"/>
    <w:rsid w:val="00D57972"/>
    <w:rsid w:val="00D6107D"/>
    <w:rsid w:val="00D645AF"/>
    <w:rsid w:val="00D65F45"/>
    <w:rsid w:val="00D66B29"/>
    <w:rsid w:val="00D675A9"/>
    <w:rsid w:val="00D70F2E"/>
    <w:rsid w:val="00D738D6"/>
    <w:rsid w:val="00D7450A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A0F34"/>
    <w:rsid w:val="00DA2BE3"/>
    <w:rsid w:val="00DA3BC8"/>
    <w:rsid w:val="00DA62A4"/>
    <w:rsid w:val="00DA7826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C5551"/>
    <w:rsid w:val="00DC5B70"/>
    <w:rsid w:val="00DD0817"/>
    <w:rsid w:val="00DD089D"/>
    <w:rsid w:val="00DD45F1"/>
    <w:rsid w:val="00DD4C17"/>
    <w:rsid w:val="00DD5B05"/>
    <w:rsid w:val="00DD78E7"/>
    <w:rsid w:val="00DE2B8A"/>
    <w:rsid w:val="00DE6BE6"/>
    <w:rsid w:val="00DF2B1F"/>
    <w:rsid w:val="00DF5AD0"/>
    <w:rsid w:val="00DF5EE8"/>
    <w:rsid w:val="00DF6189"/>
    <w:rsid w:val="00DF62CD"/>
    <w:rsid w:val="00DF67C5"/>
    <w:rsid w:val="00DF745E"/>
    <w:rsid w:val="00DF74A8"/>
    <w:rsid w:val="00E003A9"/>
    <w:rsid w:val="00E033B1"/>
    <w:rsid w:val="00E06308"/>
    <w:rsid w:val="00E06ECF"/>
    <w:rsid w:val="00E12950"/>
    <w:rsid w:val="00E13876"/>
    <w:rsid w:val="00E14634"/>
    <w:rsid w:val="00E16509"/>
    <w:rsid w:val="00E17392"/>
    <w:rsid w:val="00E17541"/>
    <w:rsid w:val="00E176F5"/>
    <w:rsid w:val="00E21BDD"/>
    <w:rsid w:val="00E2363F"/>
    <w:rsid w:val="00E24E3B"/>
    <w:rsid w:val="00E25798"/>
    <w:rsid w:val="00E27B54"/>
    <w:rsid w:val="00E34C44"/>
    <w:rsid w:val="00E36C47"/>
    <w:rsid w:val="00E37491"/>
    <w:rsid w:val="00E374CA"/>
    <w:rsid w:val="00E40281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56FFC"/>
    <w:rsid w:val="00E603C1"/>
    <w:rsid w:val="00E65966"/>
    <w:rsid w:val="00E65AAE"/>
    <w:rsid w:val="00E6796D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1887"/>
    <w:rsid w:val="00E82623"/>
    <w:rsid w:val="00E82BB1"/>
    <w:rsid w:val="00E8309B"/>
    <w:rsid w:val="00E84144"/>
    <w:rsid w:val="00E879EE"/>
    <w:rsid w:val="00E917D2"/>
    <w:rsid w:val="00E92F48"/>
    <w:rsid w:val="00E9599A"/>
    <w:rsid w:val="00E9649F"/>
    <w:rsid w:val="00E97146"/>
    <w:rsid w:val="00EA4155"/>
    <w:rsid w:val="00EA6749"/>
    <w:rsid w:val="00EB22F4"/>
    <w:rsid w:val="00EB2FC2"/>
    <w:rsid w:val="00EB340E"/>
    <w:rsid w:val="00EB47FE"/>
    <w:rsid w:val="00EC1E93"/>
    <w:rsid w:val="00EC2729"/>
    <w:rsid w:val="00EC3517"/>
    <w:rsid w:val="00EC35BA"/>
    <w:rsid w:val="00EC4A25"/>
    <w:rsid w:val="00EC6DC1"/>
    <w:rsid w:val="00ED1C22"/>
    <w:rsid w:val="00ED2846"/>
    <w:rsid w:val="00ED3052"/>
    <w:rsid w:val="00ED4894"/>
    <w:rsid w:val="00EE0472"/>
    <w:rsid w:val="00EE56AB"/>
    <w:rsid w:val="00EE5AA7"/>
    <w:rsid w:val="00EE5D8F"/>
    <w:rsid w:val="00EE74D3"/>
    <w:rsid w:val="00EF05EF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05221"/>
    <w:rsid w:val="00F10B1F"/>
    <w:rsid w:val="00F16DDC"/>
    <w:rsid w:val="00F209B1"/>
    <w:rsid w:val="00F21311"/>
    <w:rsid w:val="00F21980"/>
    <w:rsid w:val="00F220BD"/>
    <w:rsid w:val="00F22EC7"/>
    <w:rsid w:val="00F23636"/>
    <w:rsid w:val="00F273D3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50C21"/>
    <w:rsid w:val="00F50F72"/>
    <w:rsid w:val="00F56D57"/>
    <w:rsid w:val="00F6006F"/>
    <w:rsid w:val="00F61B4D"/>
    <w:rsid w:val="00F62AEB"/>
    <w:rsid w:val="00F653B8"/>
    <w:rsid w:val="00F6681D"/>
    <w:rsid w:val="00F70647"/>
    <w:rsid w:val="00F73852"/>
    <w:rsid w:val="00F7420E"/>
    <w:rsid w:val="00F77382"/>
    <w:rsid w:val="00F851B0"/>
    <w:rsid w:val="00F86361"/>
    <w:rsid w:val="00F8688A"/>
    <w:rsid w:val="00F87FF5"/>
    <w:rsid w:val="00F92DB0"/>
    <w:rsid w:val="00F9377C"/>
    <w:rsid w:val="00F95EDB"/>
    <w:rsid w:val="00F96334"/>
    <w:rsid w:val="00F96804"/>
    <w:rsid w:val="00F97F77"/>
    <w:rsid w:val="00FA0D1A"/>
    <w:rsid w:val="00FA0DFF"/>
    <w:rsid w:val="00FA1266"/>
    <w:rsid w:val="00FA7625"/>
    <w:rsid w:val="00FB022D"/>
    <w:rsid w:val="00FB1CFB"/>
    <w:rsid w:val="00FB2C76"/>
    <w:rsid w:val="00FB360C"/>
    <w:rsid w:val="00FB4364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14D0"/>
    <w:rsid w:val="00FD2B0B"/>
    <w:rsid w:val="00FD324E"/>
    <w:rsid w:val="00FD761E"/>
    <w:rsid w:val="00FE1E7F"/>
    <w:rsid w:val="00FE3ADD"/>
    <w:rsid w:val="00FE63B0"/>
    <w:rsid w:val="00FE70CF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33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4875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10</cp:revision>
  <cp:lastPrinted>2019-02-25T14:05:00Z</cp:lastPrinted>
  <dcterms:created xsi:type="dcterms:W3CDTF">2025-08-15T18:59:00Z</dcterms:created>
  <dcterms:modified xsi:type="dcterms:W3CDTF">2025-08-15T19:34:00Z</dcterms:modified>
  <cp:category/>
</cp:coreProperties>
</file>